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F6F0" w14:textId="77777777" w:rsidR="00610080" w:rsidRDefault="000258AA">
      <w:pPr>
        <w:pStyle w:val="Body"/>
        <w:jc w:val="center"/>
        <w:rPr>
          <w:rFonts w:ascii="Proxima Nova" w:eastAsia="Proxima Nova" w:hAnsi="Proxima Nova" w:cs="Proxima Nova"/>
          <w:b/>
          <w:bCs/>
          <w:color w:val="C00000"/>
          <w:sz w:val="24"/>
          <w:szCs w:val="24"/>
          <w:u w:color="C00000"/>
        </w:rPr>
      </w:pPr>
      <w:r>
        <w:rPr>
          <w:rFonts w:ascii="Proxima Nova" w:hAnsi="Proxima Nova"/>
          <w:b/>
          <w:bCs/>
          <w:color w:val="C00000"/>
          <w:sz w:val="24"/>
          <w:szCs w:val="24"/>
          <w:u w:color="C00000"/>
        </w:rPr>
        <w:t>Okupljanje zdravstvenih stručnjaka radi pobjede nad rakom</w:t>
      </w:r>
    </w:p>
    <w:p w14:paraId="76C94221" w14:textId="77777777" w:rsidR="00610080" w:rsidRDefault="000258AA">
      <w:pPr>
        <w:pStyle w:val="Body"/>
        <w:jc w:val="center"/>
        <w:rPr>
          <w:rFonts w:ascii="Proxima Nova" w:eastAsia="Proxima Nova" w:hAnsi="Proxima Nova" w:cs="Proxima Nova"/>
          <w:b/>
          <w:bCs/>
          <w:color w:val="C00000"/>
          <w:sz w:val="24"/>
          <w:szCs w:val="24"/>
          <w:u w:color="C00000"/>
        </w:rPr>
      </w:pPr>
      <w:r>
        <w:rPr>
          <w:rFonts w:ascii="Proxima Nova" w:hAnsi="Proxima Nova"/>
          <w:b/>
          <w:bCs/>
          <w:color w:val="C00000"/>
          <w:sz w:val="24"/>
          <w:szCs w:val="24"/>
          <w:u w:color="C00000"/>
        </w:rPr>
        <w:t xml:space="preserve">Zemlje srednje Europe i Baltika zaostaju za zapadnom Europom u izboru liječenja </w:t>
      </w:r>
    </w:p>
    <w:p w14:paraId="21FAF03D" w14:textId="77777777" w:rsidR="00610080" w:rsidRDefault="00610080">
      <w:pPr>
        <w:pStyle w:val="Body"/>
        <w:jc w:val="both"/>
        <w:rPr>
          <w:rFonts w:ascii="Proxima Nova" w:eastAsia="Proxima Nova" w:hAnsi="Proxima Nova" w:cs="Proxima Nova"/>
          <w:b/>
          <w:bCs/>
          <w:color w:val="C00000"/>
          <w:sz w:val="24"/>
          <w:szCs w:val="24"/>
          <w:u w:color="C00000"/>
        </w:rPr>
      </w:pPr>
    </w:p>
    <w:p w14:paraId="32DF1E91" w14:textId="77777777" w:rsidR="00610080" w:rsidRDefault="000258AA">
      <w:pPr>
        <w:pStyle w:val="Body"/>
        <w:jc w:val="both"/>
        <w:rPr>
          <w:rFonts w:ascii="Proxima Nova" w:eastAsia="Proxima Nova" w:hAnsi="Proxima Nova" w:cs="Proxima Nova"/>
        </w:rPr>
      </w:pPr>
      <w:r>
        <w:rPr>
          <w:rFonts w:ascii="Proxima Nova" w:hAnsi="Proxima Nova"/>
        </w:rPr>
        <w:t>Prag, 21. studenog 2023. - Razlika u onkološkoj skrbi evidentna je u europskim regijama</w:t>
      </w:r>
      <w:r w:rsidR="003C5272">
        <w:rPr>
          <w:rFonts w:ascii="Proxima Nova" w:hAnsi="Proxima Nova"/>
        </w:rPr>
        <w:t>. To je</w:t>
      </w:r>
      <w:r>
        <w:rPr>
          <w:rFonts w:ascii="Proxima Nova" w:hAnsi="Proxima Nova"/>
        </w:rPr>
        <w:t xml:space="preserve"> tema konferencije naziva </w:t>
      </w:r>
      <w:r>
        <w:rPr>
          <w:rFonts w:ascii="Proxima Nova" w:hAnsi="Proxima Nova"/>
          <w:b/>
          <w:bCs/>
        </w:rPr>
        <w:t>Europski plan borbe protiv raka: Zatvaranje jaza u onkološkoj skrbi u zemljama središnje Europe i Baltiku, Fokus na multipli mijelom</w:t>
      </w:r>
      <w:r w:rsidR="00B1363C">
        <w:rPr>
          <w:rFonts w:ascii="Proxima Nova" w:hAnsi="Proxima Nova"/>
        </w:rPr>
        <w:t>. Organizator je</w:t>
      </w:r>
      <w:r>
        <w:rPr>
          <w:rFonts w:ascii="Proxima Nova" w:hAnsi="Proxima Nova"/>
        </w:rPr>
        <w:t xml:space="preserve"> svjetsk</w:t>
      </w:r>
      <w:r w:rsidR="00053817">
        <w:rPr>
          <w:rFonts w:ascii="Proxima Nova" w:hAnsi="Proxima Nova"/>
        </w:rPr>
        <w:t>a</w:t>
      </w:r>
      <w:r>
        <w:rPr>
          <w:rFonts w:ascii="Proxima Nova" w:hAnsi="Proxima Nova"/>
        </w:rPr>
        <w:t xml:space="preserve"> istraživačk</w:t>
      </w:r>
      <w:r w:rsidR="00053817">
        <w:rPr>
          <w:rFonts w:ascii="Proxima Nova" w:hAnsi="Proxima Nova"/>
        </w:rPr>
        <w:t xml:space="preserve">a </w:t>
      </w:r>
      <w:r>
        <w:rPr>
          <w:rFonts w:ascii="Proxima Nova" w:hAnsi="Proxima Nova"/>
        </w:rPr>
        <w:t>skupin</w:t>
      </w:r>
      <w:r w:rsidR="00053817">
        <w:rPr>
          <w:rFonts w:ascii="Proxima Nova" w:hAnsi="Proxima Nova"/>
        </w:rPr>
        <w:t>a</w:t>
      </w:r>
      <w:r>
        <w:rPr>
          <w:rFonts w:ascii="Proxima Nova" w:hAnsi="Proxima Nova"/>
        </w:rPr>
        <w:t xml:space="preserve"> GLOBSEC. </w:t>
      </w:r>
    </w:p>
    <w:p w14:paraId="34A46250" w14:textId="77777777" w:rsidR="00610080" w:rsidRDefault="000258AA">
      <w:pPr>
        <w:pStyle w:val="Body"/>
        <w:jc w:val="both"/>
        <w:rPr>
          <w:rFonts w:ascii="Proxima Nova" w:eastAsia="Proxima Nova" w:hAnsi="Proxima Nova" w:cs="Proxima Nova"/>
        </w:rPr>
      </w:pPr>
      <w:r>
        <w:rPr>
          <w:rFonts w:ascii="Proxima Nova" w:hAnsi="Proxima Nova"/>
        </w:rPr>
        <w:t xml:space="preserve">Zdravstveni stručnjaci, udruge pacijenata i donosioci odluka iz niza zemalja govorili su o teškoćama, ali i mogućnostima u skrbi za oboljele od raka, razvoju i strategijama u Europskom planu borbe protiv raka s posebnim naglaskom na multipli mijelom. Također, predstavljeno je i pokretanje prvog sveobuhvatnog istraživanja o multiplom mijelomu koje provodi The Economist. </w:t>
      </w:r>
    </w:p>
    <w:p w14:paraId="215C7566" w14:textId="66473CBB" w:rsidR="00610080" w:rsidRDefault="000258AA">
      <w:pPr>
        <w:pStyle w:val="Body"/>
        <w:jc w:val="both"/>
        <w:rPr>
          <w:rFonts w:ascii="Proxima Nova" w:eastAsia="Proxima Nova" w:hAnsi="Proxima Nova" w:cs="Proxima Nova"/>
        </w:rPr>
      </w:pPr>
      <w:r>
        <w:rPr>
          <w:rFonts w:ascii="Proxima Nova" w:hAnsi="Proxima Nova"/>
        </w:rPr>
        <w:t xml:space="preserve">U istraživanju će sudjelovati i hrvatske udruge pacijenata čiji su predstavnici imali aktivnu ulogu i na samoj konferenciji u kojoj je sudjelovala i </w:t>
      </w:r>
      <w:r>
        <w:rPr>
          <w:rFonts w:ascii="Proxima Nova" w:hAnsi="Proxima Nova"/>
          <w:b/>
          <w:bCs/>
        </w:rPr>
        <w:t>prim. dr.</w:t>
      </w:r>
      <w:r w:rsidR="00A73EDF">
        <w:rPr>
          <w:rFonts w:ascii="Proxima Nova" w:hAnsi="Proxima Nova"/>
          <w:b/>
          <w:bCs/>
        </w:rPr>
        <w:t xml:space="preserve"> sc.</w:t>
      </w:r>
      <w:r>
        <w:rPr>
          <w:rFonts w:ascii="Proxima Nova" w:hAnsi="Proxima Nova"/>
          <w:b/>
          <w:bCs/>
        </w:rPr>
        <w:t xml:space="preserve"> Sandra Bašić </w:t>
      </w:r>
      <w:r>
        <w:rPr>
          <w:rFonts w:ascii="Proxima Nova" w:hAnsi="Proxima Nova"/>
          <w:b/>
          <w:bCs/>
          <w:lang w:val="de-DE"/>
        </w:rPr>
        <w:t>Kinda</w:t>
      </w:r>
      <w:r>
        <w:rPr>
          <w:rFonts w:ascii="Proxima Nova" w:hAnsi="Proxima Nova"/>
        </w:rPr>
        <w:t xml:space="preserve">, </w:t>
      </w:r>
      <w:r>
        <w:rPr>
          <w:rFonts w:ascii="Proxima Nova" w:hAnsi="Proxima Nova"/>
          <w:b/>
          <w:bCs/>
        </w:rPr>
        <w:t>dr. med.</w:t>
      </w:r>
      <w:r>
        <w:rPr>
          <w:rFonts w:ascii="Proxima Nova" w:hAnsi="Proxima Nova"/>
        </w:rPr>
        <w:t xml:space="preserve">, voditeljica Odjela za zloćudne tumore krvotvornih sustava KBC-a Zagreb. </w:t>
      </w:r>
    </w:p>
    <w:p w14:paraId="731097D4" w14:textId="77777777" w:rsidR="00610080" w:rsidRDefault="000258AA">
      <w:pPr>
        <w:pStyle w:val="Body"/>
        <w:numPr>
          <w:ilvl w:val="0"/>
          <w:numId w:val="2"/>
        </w:numPr>
        <w:jc w:val="both"/>
        <w:rPr>
          <w:rFonts w:ascii="Proxima Nova" w:hAnsi="Proxima Nova"/>
          <w:i/>
          <w:iCs/>
        </w:rPr>
      </w:pPr>
      <w:r>
        <w:rPr>
          <w:rFonts w:ascii="Proxima Nova" w:hAnsi="Proxima Nova"/>
          <w:i/>
          <w:iCs/>
        </w:rPr>
        <w:t xml:space="preserve">Liječenje multiplog mijeloma u srednjeistočnim europskim državama znatno je lošije nego u drugim europskim zemljama. Nama u Hrvatskoj, u ovom konkretnom trenutku, nije dostupna ni adekvatna prva linija liječenja koja je dostupna u “povlaštenim” EU zemljama. Također, nemamo ni optimalne opcije za liječenje bolesnika u relapsu multiplog mijeloma jer su to kombinacije najmanje dva skupa lijeka, a nisu odobrene u RH. Treba reći i kako Hrvatska nije uključena u klinička istraživanja jer smo mala zemlja i kao takva nismo interesantni farmaceutskim tvrtkama. Pri tomu je i naša administracija iznimno zahtjevna te odobrenje kliničke studije jako dugo traje. Nove terapije kao što su CAR-T i bispecifična protutijela, koja su zapravo imunoterapija, nisu uopće dostupne u manjim, srednjeistočnim zemljama. Sve to rezultira lošijom skrbi za naše bolesnike - poručila je prim.dr.sc. Bašić Kinda. </w:t>
      </w:r>
    </w:p>
    <w:p w14:paraId="5E9D8EAF" w14:textId="77777777" w:rsidR="00610080" w:rsidRDefault="000258AA">
      <w:pPr>
        <w:pStyle w:val="Body"/>
        <w:jc w:val="both"/>
        <w:rPr>
          <w:rFonts w:ascii="Proxima Nova" w:eastAsia="Proxima Nova" w:hAnsi="Proxima Nova" w:cs="Proxima Nova"/>
        </w:rPr>
      </w:pPr>
      <w:r>
        <w:rPr>
          <w:rFonts w:ascii="Proxima Nova" w:hAnsi="Proxima Nova"/>
        </w:rPr>
        <w:t xml:space="preserve">Kako bi se pridonijelo identificiranju mogućnosti za uklanjanje tih razlika, tijekom narednih šest mjeseci provodit će se sveobuhvatna regionalna studija, zajedno s neovisnim istraživanjem koje provodi Economist Impact. Ovaj veliki analitički pregled omogućit će detaljni uvid u stanje ove bolesti u regiji.  </w:t>
      </w:r>
    </w:p>
    <w:p w14:paraId="5D77B45A" w14:textId="77777777" w:rsidR="00610080" w:rsidRDefault="000258AA">
      <w:pPr>
        <w:pStyle w:val="Body"/>
        <w:jc w:val="both"/>
        <w:rPr>
          <w:rFonts w:ascii="Proxima Nova" w:eastAsia="Proxima Nova" w:hAnsi="Proxima Nova" w:cs="Proxima Nova"/>
        </w:rPr>
      </w:pPr>
      <w:r>
        <w:rPr>
          <w:rFonts w:ascii="Proxima Nova" w:hAnsi="Proxima Nova"/>
        </w:rPr>
        <w:t>„Kako bi se poboljšala skrb za oboljele od multiplog mijeloma u regiji potreban je sveobuhvatan preustroj skrbi za oboljele od raka, uključujući bolju dostupnost ranijem dijagnosticiranju, transplantiranju autolognih matičnih stanica i inovativnim terapijama</w:t>
      </w:r>
      <w:r>
        <w:rPr>
          <w:rFonts w:ascii="Proxima Nova" w:hAnsi="Proxima Nova"/>
          <w:rtl/>
          <w:lang w:val="ar-SA"/>
        </w:rPr>
        <w:t>“</w:t>
      </w:r>
      <w:r>
        <w:rPr>
          <w:rFonts w:ascii="Proxima Nova" w:hAnsi="Proxima Nova"/>
        </w:rPr>
        <w:t>, rekao je</w:t>
      </w:r>
      <w:r>
        <w:rPr>
          <w:rFonts w:ascii="Proxima Nova" w:hAnsi="Proxima Nova"/>
          <w:lang w:val="en-US"/>
        </w:rPr>
        <w:t xml:space="preserve"> Gerard Dunleavy, vi</w:t>
      </w:r>
      <w:r>
        <w:rPr>
          <w:rFonts w:ascii="Proxima Nova" w:hAnsi="Proxima Nova"/>
        </w:rPr>
        <w:t>ši savjetnik u društvu Economist Impact.</w:t>
      </w:r>
    </w:p>
    <w:p w14:paraId="544EC64C" w14:textId="77777777" w:rsidR="00610080" w:rsidRDefault="00610080">
      <w:pPr>
        <w:pStyle w:val="Body"/>
        <w:jc w:val="both"/>
      </w:pPr>
    </w:p>
    <w:p w14:paraId="6D1A3723" w14:textId="77777777" w:rsidR="00610080" w:rsidRDefault="000258AA">
      <w:pPr>
        <w:pStyle w:val="Body"/>
        <w:jc w:val="both"/>
        <w:rPr>
          <w:rFonts w:ascii="Proxima Nova" w:eastAsia="Proxima Nova" w:hAnsi="Proxima Nova" w:cs="Proxima Nova"/>
        </w:rPr>
      </w:pPr>
      <w:r>
        <w:rPr>
          <w:rFonts w:ascii="Proxima Nova" w:hAnsi="Proxima Nova"/>
        </w:rPr>
        <w:t>Oboljeli od multiplog mijeloma podignuli su svoj glas u dokumentarnom filmu „</w:t>
      </w:r>
      <w:r>
        <w:rPr>
          <w:rFonts w:ascii="Proxima Nova" w:hAnsi="Proxima Nova"/>
          <w:lang w:val="en-US"/>
        </w:rPr>
        <w:t>My Myeloma: ready for the steps ahead</w:t>
      </w:r>
      <w:r>
        <w:rPr>
          <w:rFonts w:ascii="Proxima Nova" w:hAnsi="Proxima Nova"/>
          <w:lang w:val="de-DE"/>
        </w:rPr>
        <w:t xml:space="preserve">“ </w:t>
      </w:r>
      <w:r>
        <w:rPr>
          <w:rFonts w:ascii="Proxima Nova" w:hAnsi="Proxima Nova"/>
        </w:rPr>
        <w:t>(„Moj mijelom: spremni za daljnje korake</w:t>
      </w:r>
      <w:r>
        <w:rPr>
          <w:rFonts w:ascii="Proxima Nova" w:hAnsi="Proxima Nova"/>
          <w:rtl/>
          <w:lang w:val="ar-SA"/>
        </w:rPr>
        <w:t>“</w:t>
      </w:r>
      <w:r>
        <w:rPr>
          <w:rFonts w:ascii="Proxima Nova" w:hAnsi="Proxima Nova"/>
        </w:rPr>
        <w:t>), čime se nastavlja analitički pristup kao poziv za sve zdravstvene dionike.</w:t>
      </w:r>
    </w:p>
    <w:p w14:paraId="21C21847" w14:textId="77777777" w:rsidR="00610080" w:rsidRDefault="000258AA">
      <w:pPr>
        <w:pStyle w:val="Body"/>
        <w:jc w:val="both"/>
        <w:rPr>
          <w:rFonts w:ascii="Proxima Nova" w:eastAsia="Proxima Nova" w:hAnsi="Proxima Nova" w:cs="Proxima Nova"/>
          <w:b/>
          <w:bCs/>
        </w:rPr>
      </w:pPr>
      <w:r>
        <w:rPr>
          <w:rFonts w:ascii="Proxima Nova" w:hAnsi="Proxima Nova"/>
          <w:i/>
          <w:iCs/>
        </w:rPr>
        <w:t>- Imamo misiju pomoći da se svaki oboljeli u našoj regiji osjeća sigurno, da ima dobro liječenje te pristup pravovremenoj i najmodernijoj skrbi. To je ono što mi daje poticaj u svakoj minuti mog radnog dana. I sigurna sam da to možemo postići, poručila je</w:t>
      </w:r>
      <w:r>
        <w:rPr>
          <w:rFonts w:ascii="Proxima Nova" w:hAnsi="Proxima Nova"/>
        </w:rPr>
        <w:t xml:space="preserve"> </w:t>
      </w:r>
      <w:r>
        <w:rPr>
          <w:rFonts w:ascii="Proxima Nova" w:hAnsi="Proxima Nova"/>
          <w:b/>
          <w:bCs/>
        </w:rPr>
        <w:t>Mira Armour, suosnivačica i predsjednica udruge MijelomCRO.</w:t>
      </w:r>
    </w:p>
    <w:p w14:paraId="2E2A1843" w14:textId="77777777" w:rsidR="00610080" w:rsidRDefault="00610080">
      <w:pPr>
        <w:pStyle w:val="Body"/>
        <w:jc w:val="both"/>
        <w:rPr>
          <w:rFonts w:ascii="Proxima Nova" w:eastAsia="Proxima Nova" w:hAnsi="Proxima Nova" w:cs="Proxima Nova"/>
        </w:rPr>
      </w:pPr>
    </w:p>
    <w:p w14:paraId="1FF18C39" w14:textId="77777777" w:rsidR="00610080" w:rsidRDefault="000258AA">
      <w:pPr>
        <w:pStyle w:val="Body"/>
        <w:jc w:val="both"/>
        <w:rPr>
          <w:rFonts w:ascii="Proxima Nova" w:eastAsia="Proxima Nova" w:hAnsi="Proxima Nova" w:cs="Proxima Nova"/>
        </w:rPr>
      </w:pPr>
      <w:r>
        <w:rPr>
          <w:rFonts w:ascii="Proxima Nova" w:hAnsi="Proxima Nova"/>
        </w:rPr>
        <w:t>Udio potrošnje za zdravstvo u BDP-u te po glavi stanovnika ostaje znatno niže nego u zapadnoj Europi, ukupna potrošnja za zdravstvo u BDP-u niža je od EU prosjeka od 9,9% 2019. godine.</w:t>
      </w:r>
      <w:r>
        <w:rPr>
          <w:rFonts w:ascii="Proxima Nova" w:hAnsi="Proxima Nova"/>
          <w:rtl/>
          <w:lang w:val="ar-SA"/>
        </w:rPr>
        <w:t>“</w:t>
      </w:r>
      <w:r>
        <w:rPr>
          <w:rFonts w:ascii="Proxima Nova" w:eastAsia="Proxima Nova" w:hAnsi="Proxima Nova" w:cs="Proxima Nova"/>
          <w:vertAlign w:val="superscript"/>
          <w:lang w:val="en-US"/>
        </w:rPr>
        <w:footnoteReference w:id="2"/>
      </w:r>
    </w:p>
    <w:p w14:paraId="109D1DEF" w14:textId="77777777" w:rsidR="00610080" w:rsidRDefault="00610080">
      <w:pPr>
        <w:pStyle w:val="Body"/>
        <w:jc w:val="both"/>
      </w:pPr>
    </w:p>
    <w:p w14:paraId="76920847" w14:textId="77777777" w:rsidR="00610080" w:rsidRDefault="000258AA">
      <w:pPr>
        <w:pStyle w:val="xmsonormal"/>
        <w:shd w:val="clear" w:color="auto" w:fill="FFFFFF"/>
        <w:spacing w:before="0" w:after="0"/>
        <w:jc w:val="both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hAnsi="Proxima Nova"/>
          <w:i/>
          <w:iCs/>
          <w:sz w:val="22"/>
          <w:szCs w:val="22"/>
        </w:rPr>
        <w:t>„Cilj je Europskog plana za borbu protiv raka, kojemu je Europska komisija dodijelila više od 4 milijarde eura, poboljšati kvalitetu skrbi za oboljele od raka, povećati dostupnost inovativnih vrsta liječenja i poduprijeti razvoj novih terapija. Područje raka krvi i konkretno multiplog mijeloma može biti dobar primjer i zanimljivo pilot područje koje će nam pomoći da uspješno uzmemo cijelo pitanje skrbi o oboljelima od raka u svoje ruke i postignemo pozitivne rezultate u relativno kratkom vremenu</w:t>
      </w:r>
      <w:r>
        <w:rPr>
          <w:rFonts w:ascii="Proxima Nova" w:hAnsi="Proxima Nova"/>
          <w:i/>
          <w:iCs/>
          <w:sz w:val="22"/>
          <w:szCs w:val="22"/>
          <w:rtl/>
          <w:lang w:val="ar-SA"/>
        </w:rPr>
        <w:t>“</w:t>
      </w:r>
      <w:r>
        <w:rPr>
          <w:rFonts w:ascii="Proxima Nova" w:hAnsi="Proxima Nova"/>
          <w:sz w:val="22"/>
          <w:szCs w:val="22"/>
        </w:rPr>
        <w:t>, komentirao je profesor R</w:t>
      </w:r>
      <w:proofErr w:type="spellStart"/>
      <w:r>
        <w:rPr>
          <w:rFonts w:ascii="Proxima Nova" w:hAnsi="Proxima Nova"/>
          <w:sz w:val="22"/>
          <w:szCs w:val="22"/>
          <w:lang w:val="es-ES_tradnl"/>
        </w:rPr>
        <w:t>ó</w:t>
      </w:r>
      <w:proofErr w:type="spellEnd"/>
      <w:r>
        <w:rPr>
          <w:rFonts w:ascii="Proxima Nova" w:hAnsi="Proxima Nova"/>
          <w:sz w:val="22"/>
          <w:szCs w:val="22"/>
          <w:lang w:val="de-DE"/>
        </w:rPr>
        <w:t>bert Babe</w:t>
      </w:r>
      <w:r>
        <w:rPr>
          <w:rFonts w:ascii="Proxima Nova" w:hAnsi="Proxima Nova"/>
          <w:sz w:val="22"/>
          <w:szCs w:val="22"/>
        </w:rPr>
        <w:t xml:space="preserve">ľa, prorektor Slovačkog medicinskog sveučilišta.  </w:t>
      </w:r>
    </w:p>
    <w:p w14:paraId="5B547D4F" w14:textId="77777777" w:rsidR="00610080" w:rsidRDefault="00610080">
      <w:pPr>
        <w:pStyle w:val="xmsonormal"/>
        <w:shd w:val="clear" w:color="auto" w:fill="FFFFFF"/>
        <w:spacing w:before="0" w:after="0"/>
        <w:jc w:val="both"/>
        <w:rPr>
          <w:rFonts w:ascii="Proxima Nova" w:eastAsia="Proxima Nova" w:hAnsi="Proxima Nova" w:cs="Proxima Nova"/>
          <w:sz w:val="22"/>
          <w:szCs w:val="22"/>
          <w:lang w:val="en-US"/>
        </w:rPr>
      </w:pPr>
    </w:p>
    <w:p w14:paraId="535820BB" w14:textId="77777777" w:rsidR="00610080" w:rsidRDefault="000258AA">
      <w:pPr>
        <w:pStyle w:val="Body"/>
        <w:spacing w:after="0" w:line="240" w:lineRule="auto"/>
        <w:jc w:val="both"/>
        <w:rPr>
          <w:rFonts w:ascii="Proxima Nova" w:eastAsia="Proxima Nova" w:hAnsi="Proxima Nova" w:cs="Proxima Nova"/>
        </w:rPr>
      </w:pPr>
      <w:r>
        <w:rPr>
          <w:rFonts w:ascii="Proxima Nova" w:hAnsi="Proxima Nova"/>
        </w:rPr>
        <w:t xml:space="preserve">GLOBSEC-ov indeks spremnosti zdravstvene skrbi potvrđuje ove podatke i po ukupnoj spremnosti stavlja ove zemlje iza skupine šireg EU-a, Norveške i Ujedinjene Kraljevine. Prezentiranjem ovog ažuriranog indeksa </w:t>
      </w:r>
      <w:r>
        <w:rPr>
          <w:rFonts w:ascii="Proxima Nova" w:hAnsi="Proxima Nova"/>
          <w:i/>
          <w:iCs/>
        </w:rPr>
        <w:t>GLOBSEC-ov je cilj pridonijeti aktualnim raspravama o otpornosti zdravstvene skrbi i promicati nastojanja suradnje u borbi protiv raka</w:t>
      </w:r>
      <w:r>
        <w:rPr>
          <w:rFonts w:ascii="Proxima Nova" w:hAnsi="Proxima Nova"/>
          <w:i/>
          <w:iCs/>
          <w:rtl/>
          <w:lang w:val="ar-SA"/>
        </w:rPr>
        <w:t>“</w:t>
      </w:r>
      <w:r>
        <w:rPr>
          <w:rFonts w:ascii="Proxima Nova" w:hAnsi="Proxima Nova"/>
          <w:i/>
          <w:iCs/>
        </w:rPr>
        <w:t xml:space="preserve">, </w:t>
      </w:r>
      <w:r>
        <w:rPr>
          <w:rFonts w:ascii="Proxima Nova" w:hAnsi="Proxima Nova"/>
        </w:rPr>
        <w:t>kako je otkrio znanstveni suradnik GLOBSEC-a za podatke, Martin Smatana.</w:t>
      </w:r>
    </w:p>
    <w:p w14:paraId="76EC8863" w14:textId="77777777" w:rsidR="00610080" w:rsidRDefault="00610080">
      <w:pPr>
        <w:pStyle w:val="xmsonormal"/>
        <w:shd w:val="clear" w:color="auto" w:fill="FFFFFF"/>
        <w:spacing w:before="0" w:after="0"/>
        <w:jc w:val="both"/>
        <w:rPr>
          <w:rFonts w:ascii="Proxima Nova" w:eastAsia="Proxima Nova" w:hAnsi="Proxima Nova" w:cs="Proxima Nova"/>
          <w:sz w:val="22"/>
          <w:szCs w:val="22"/>
          <w:lang w:val="en-US"/>
        </w:rPr>
      </w:pPr>
    </w:p>
    <w:p w14:paraId="6B3931BA" w14:textId="77777777" w:rsidR="00610080" w:rsidRDefault="000258AA">
      <w:pPr>
        <w:pStyle w:val="Body"/>
        <w:spacing w:after="0" w:line="240" w:lineRule="auto"/>
        <w:rPr>
          <w:rFonts w:ascii="Proxima Nova" w:eastAsia="Proxima Nova" w:hAnsi="Proxima Nova" w:cs="Proxima Nova"/>
          <w:kern w:val="0"/>
        </w:rPr>
      </w:pPr>
      <w:r>
        <w:rPr>
          <w:rFonts w:ascii="Proxima Nova" w:hAnsi="Proxima Nova"/>
        </w:rPr>
        <w:t>Multipli mijelom sve više pogađa mlađe generacije. U Europi je 2020. multipli mijelom dijagnosticiran kod više od 50 900 osoba</w:t>
      </w:r>
      <w:r>
        <w:rPr>
          <w:rFonts w:ascii="Proxima Nova" w:eastAsia="Proxima Nova" w:hAnsi="Proxima Nova" w:cs="Proxima Nova"/>
          <w:vertAlign w:val="superscript"/>
          <w:lang w:val="en-US"/>
        </w:rPr>
        <w:footnoteReference w:id="3"/>
      </w:r>
      <w:r>
        <w:rPr>
          <w:rFonts w:ascii="Proxima Nova" w:hAnsi="Proxima Nova"/>
        </w:rPr>
        <w:t>. U zemljama središnje Europe i Baltiku dostupnost novih oblika liječenja multiplog mijeloma zaostaje za zapadnom Europom</w:t>
      </w:r>
      <w:r>
        <w:rPr>
          <w:rFonts w:ascii="Proxima Nova" w:eastAsia="Proxima Nova" w:hAnsi="Proxima Nova" w:cs="Proxima Nova"/>
          <w:kern w:val="0"/>
          <w:vertAlign w:val="superscript"/>
          <w:lang w:val="en-US"/>
        </w:rPr>
        <w:footnoteReference w:id="4"/>
      </w:r>
      <w:r>
        <w:rPr>
          <w:rFonts w:ascii="Proxima Nova" w:hAnsi="Proxima Nova"/>
        </w:rPr>
        <w:t xml:space="preserve">, a nedostatak ažuriranih kliničkih smjernica za upravljanje bolešću specifičnih za određenu državu znači da je izbor liječenja koji je dostupan pacijentima ispod optimalnog. </w:t>
      </w:r>
    </w:p>
    <w:p w14:paraId="0C359ED7" w14:textId="77777777" w:rsidR="00610080" w:rsidRDefault="000258AA">
      <w:pPr>
        <w:pStyle w:val="Body"/>
        <w:spacing w:after="0" w:line="240" w:lineRule="auto"/>
        <w:rPr>
          <w:rFonts w:ascii="Proxima Nova" w:eastAsia="Proxima Nova" w:hAnsi="Proxima Nova" w:cs="Proxima Nova"/>
          <w:kern w:val="0"/>
        </w:rPr>
      </w:pPr>
      <w:r>
        <w:rPr>
          <w:rFonts w:ascii="Proxima Nova" w:hAnsi="Proxima Nova"/>
        </w:rPr>
        <w:t>Iako je u liječenju multiplog mijeloma tijekom protekla dva desetljeća provedeno više od 3 000 kliničkih ispitivanja, samo u 6% njih sudjelovali su pacijenti iz srednje i istočne Europe.</w:t>
      </w:r>
      <w:r>
        <w:rPr>
          <w:rFonts w:ascii="Proxima Nova" w:eastAsia="Proxima Nova" w:hAnsi="Proxima Nova" w:cs="Proxima Nova"/>
          <w:kern w:val="0"/>
          <w:vertAlign w:val="superscript"/>
          <w:lang w:val="en-US"/>
        </w:rPr>
        <w:footnoteReference w:id="5"/>
      </w:r>
      <w:r>
        <w:rPr>
          <w:rFonts w:ascii="Proxima Nova" w:hAnsi="Proxima Nova"/>
          <w:vertAlign w:val="superscript"/>
        </w:rPr>
        <w:t xml:space="preserve"> </w:t>
      </w:r>
      <w:r>
        <w:rPr>
          <w:rFonts w:ascii="Proxima Nova" w:hAnsi="Proxima Nova"/>
        </w:rPr>
        <w:t xml:space="preserve">Nedjelotvorni postupci registracije kliničkih ispitivanja, nedostatak kvalificiranog osoblja, nedovoljna dostupnost standardnih terapija i heterogenost skrbi predstavljaju zapreke provođenju kliničkih ispitivanja u toj regiji. </w:t>
      </w:r>
    </w:p>
    <w:p w14:paraId="001B51BC" w14:textId="77777777" w:rsidR="00610080" w:rsidRDefault="00610080">
      <w:pPr>
        <w:pStyle w:val="Body"/>
        <w:spacing w:after="0" w:line="240" w:lineRule="auto"/>
        <w:rPr>
          <w:rFonts w:ascii="Proxima Nova" w:eastAsia="Proxima Nova" w:hAnsi="Proxima Nova" w:cs="Proxima Nova"/>
          <w:color w:val="FF0000"/>
          <w:kern w:val="0"/>
          <w:sz w:val="24"/>
          <w:szCs w:val="24"/>
          <w:u w:color="FF0000"/>
          <w:lang w:val="en-US"/>
        </w:rPr>
      </w:pPr>
    </w:p>
    <w:p w14:paraId="331B528B" w14:textId="77777777" w:rsidR="00610080" w:rsidRDefault="000258AA">
      <w:pPr>
        <w:pStyle w:val="Body"/>
        <w:spacing w:after="0" w:line="240" w:lineRule="auto"/>
        <w:jc w:val="both"/>
        <w:rPr>
          <w:rFonts w:ascii="Proxima Nova" w:eastAsia="Proxima Nova" w:hAnsi="Proxima Nova" w:cs="Proxima Nova"/>
        </w:rPr>
      </w:pPr>
      <w:r>
        <w:rPr>
          <w:rFonts w:ascii="Proxima Nova" w:hAnsi="Proxima Nova"/>
        </w:rPr>
        <w:t>Uz to su uobičajena i kašnjenja u dijagnozi te u vrijeme postavljanja dijagnoze više od polovice pacijenata ima teže simptome i komplikacije (56 % pacijenata u regiji ima bolest kostiju dok 51 % ima anemiju), što predstavlja još veći teret za njih i za zdravstveni sustav.</w:t>
      </w:r>
      <w:r>
        <w:rPr>
          <w:rFonts w:ascii="Proxima Nova" w:hAnsi="Proxima Nova"/>
          <w:vertAlign w:val="superscript"/>
        </w:rPr>
        <w:t>5</w:t>
      </w:r>
    </w:p>
    <w:p w14:paraId="3A3A6FA5" w14:textId="77777777" w:rsidR="00610080" w:rsidRDefault="00610080">
      <w:pPr>
        <w:pStyle w:val="Body"/>
        <w:spacing w:after="0" w:line="240" w:lineRule="auto"/>
        <w:jc w:val="both"/>
        <w:rPr>
          <w:rFonts w:ascii="Proxima Nova" w:eastAsia="Proxima Nova" w:hAnsi="Proxima Nova" w:cs="Proxima Nova"/>
          <w:lang w:val="en-US"/>
        </w:rPr>
      </w:pPr>
    </w:p>
    <w:p w14:paraId="6ED9EA4D" w14:textId="77777777" w:rsidR="00610080" w:rsidRDefault="00610080">
      <w:pPr>
        <w:pStyle w:val="Body"/>
      </w:pPr>
    </w:p>
    <w:p w14:paraId="38FE7240" w14:textId="77777777" w:rsidR="00610080" w:rsidRDefault="00610080">
      <w:pPr>
        <w:pStyle w:val="Body"/>
        <w:jc w:val="both"/>
        <w:rPr>
          <w:rFonts w:ascii="Proxima Nova" w:eastAsia="Proxima Nova" w:hAnsi="Proxima Nova" w:cs="Proxima Nova"/>
          <w:color w:val="FF0000"/>
          <w:u w:color="FF0000"/>
          <w:lang w:val="en-US"/>
        </w:rPr>
      </w:pPr>
    </w:p>
    <w:p w14:paraId="1471D8D8" w14:textId="77777777" w:rsidR="00610080" w:rsidRDefault="00610080">
      <w:pPr>
        <w:pStyle w:val="Body"/>
        <w:jc w:val="both"/>
        <w:rPr>
          <w:rFonts w:ascii="Proxima Nova" w:eastAsia="Proxima Nova" w:hAnsi="Proxima Nova" w:cs="Proxima Nova"/>
        </w:rPr>
      </w:pPr>
    </w:p>
    <w:p w14:paraId="6E9896E8" w14:textId="77777777" w:rsidR="00610080" w:rsidRDefault="00610080">
      <w:pPr>
        <w:pStyle w:val="Body"/>
        <w:jc w:val="both"/>
        <w:rPr>
          <w:rFonts w:ascii="Proxima Nova" w:eastAsia="Proxima Nova" w:hAnsi="Proxima Nova" w:cs="Proxima Nova"/>
          <w:color w:val="FF0000"/>
          <w:u w:color="FF0000"/>
        </w:rPr>
      </w:pPr>
    </w:p>
    <w:p w14:paraId="6EE22436" w14:textId="77777777" w:rsidR="00610080" w:rsidRDefault="000258AA">
      <w:pPr>
        <w:pStyle w:val="Body"/>
        <w:jc w:val="both"/>
        <w:rPr>
          <w:rFonts w:ascii="Proxima Nova" w:eastAsia="Proxima Nova" w:hAnsi="Proxima Nova" w:cs="Proxima Nova"/>
          <w:sz w:val="16"/>
          <w:szCs w:val="16"/>
        </w:rPr>
      </w:pPr>
      <w:r>
        <w:rPr>
          <w:rFonts w:ascii="Proxima Nova" w:hAnsi="Proxima Nova"/>
          <w:sz w:val="16"/>
          <w:szCs w:val="16"/>
        </w:rPr>
        <w:t>VIŠ</w:t>
      </w:r>
      <w:r>
        <w:rPr>
          <w:rFonts w:ascii="Proxima Nova" w:hAnsi="Proxima Nova"/>
          <w:sz w:val="16"/>
          <w:szCs w:val="16"/>
          <w:lang w:val="de-DE"/>
        </w:rPr>
        <w:t>E INFORMACIJA NA:</w:t>
      </w:r>
    </w:p>
    <w:p w14:paraId="7494150A" w14:textId="77777777" w:rsidR="00610080" w:rsidRDefault="00983137">
      <w:pPr>
        <w:pStyle w:val="Body"/>
        <w:jc w:val="both"/>
        <w:rPr>
          <w:rFonts w:ascii="Proxima Nova" w:eastAsia="Proxima Nova" w:hAnsi="Proxima Nova" w:cs="Proxima Nova"/>
        </w:rPr>
      </w:pPr>
      <w:hyperlink r:id="rId7" w:history="1">
        <w:r w:rsidR="000258AA">
          <w:rPr>
            <w:rStyle w:val="Hyperlink1"/>
            <w:lang w:val="en-US"/>
          </w:rPr>
          <w:t>https://www.globsec.org/what-we-do/events/eus-beating-cancer-plan-closing-gap-cancer-care-ce-baltics</w:t>
        </w:r>
      </w:hyperlink>
      <w:r w:rsidR="000258AA">
        <w:rPr>
          <w:rFonts w:ascii="Proxima Nova" w:hAnsi="Proxima Nova"/>
        </w:rPr>
        <w:t>.</w:t>
      </w:r>
    </w:p>
    <w:p w14:paraId="6FF81059" w14:textId="77777777" w:rsidR="00610080" w:rsidRDefault="00610080">
      <w:pPr>
        <w:pStyle w:val="Body"/>
        <w:jc w:val="both"/>
        <w:rPr>
          <w:rFonts w:ascii="Proxima Nova" w:eastAsia="Proxima Nova" w:hAnsi="Proxima Nova" w:cs="Proxima Nova"/>
          <w:b/>
          <w:bCs/>
          <w:sz w:val="18"/>
          <w:szCs w:val="18"/>
          <w:lang w:val="en-US"/>
        </w:rPr>
      </w:pPr>
    </w:p>
    <w:p w14:paraId="1A981FF1" w14:textId="77777777" w:rsidR="00610080" w:rsidRDefault="00610080">
      <w:pPr>
        <w:pStyle w:val="Body"/>
        <w:jc w:val="both"/>
        <w:rPr>
          <w:rFonts w:ascii="Proxima Nova" w:eastAsia="Proxima Nova" w:hAnsi="Proxima Nova" w:cs="Proxima Nova"/>
          <w:b/>
          <w:bCs/>
          <w:sz w:val="18"/>
          <w:szCs w:val="18"/>
          <w:lang w:val="en-US"/>
        </w:rPr>
      </w:pPr>
    </w:p>
    <w:p w14:paraId="590E32E5" w14:textId="77777777" w:rsidR="00610080" w:rsidRDefault="00610080">
      <w:pPr>
        <w:pStyle w:val="Body"/>
        <w:jc w:val="both"/>
        <w:rPr>
          <w:rFonts w:ascii="Proxima Nova" w:eastAsia="Proxima Nova" w:hAnsi="Proxima Nova" w:cs="Proxima Nova"/>
          <w:b/>
          <w:bCs/>
          <w:sz w:val="18"/>
          <w:szCs w:val="18"/>
          <w:lang w:val="en-US"/>
        </w:rPr>
      </w:pPr>
    </w:p>
    <w:p w14:paraId="10C36CF0" w14:textId="77777777" w:rsidR="00610080" w:rsidRDefault="00610080">
      <w:pPr>
        <w:pStyle w:val="Body"/>
        <w:jc w:val="both"/>
        <w:rPr>
          <w:rFonts w:ascii="Proxima Nova" w:eastAsia="Proxima Nova" w:hAnsi="Proxima Nova" w:cs="Proxima Nova"/>
          <w:b/>
          <w:bCs/>
          <w:sz w:val="18"/>
          <w:szCs w:val="18"/>
          <w:lang w:val="en-US"/>
        </w:rPr>
      </w:pPr>
    </w:p>
    <w:p w14:paraId="3436DC53" w14:textId="77777777" w:rsidR="00610080" w:rsidRDefault="00610080">
      <w:pPr>
        <w:pStyle w:val="Body"/>
        <w:jc w:val="both"/>
        <w:rPr>
          <w:rFonts w:ascii="Proxima Nova" w:eastAsia="Proxima Nova" w:hAnsi="Proxima Nova" w:cs="Proxima Nova"/>
          <w:b/>
          <w:bCs/>
          <w:sz w:val="18"/>
          <w:szCs w:val="18"/>
          <w:lang w:val="en-US"/>
        </w:rPr>
      </w:pPr>
    </w:p>
    <w:p w14:paraId="37AF2B47" w14:textId="77777777" w:rsidR="00610080" w:rsidRDefault="000258AA">
      <w:pPr>
        <w:pStyle w:val="Body"/>
        <w:jc w:val="both"/>
        <w:rPr>
          <w:rFonts w:ascii="Proxima Nova" w:eastAsia="Proxima Nova" w:hAnsi="Proxima Nova" w:cs="Proxima Nova"/>
          <w:b/>
          <w:bCs/>
          <w:sz w:val="18"/>
          <w:szCs w:val="18"/>
        </w:rPr>
      </w:pPr>
      <w:r>
        <w:rPr>
          <w:rFonts w:ascii="Proxima Nova" w:hAnsi="Proxima Nova"/>
          <w:b/>
          <w:bCs/>
          <w:sz w:val="18"/>
          <w:szCs w:val="18"/>
          <w:lang w:val="pt-PT"/>
        </w:rPr>
        <w:t>O GLOBSEC-u:</w:t>
      </w:r>
    </w:p>
    <w:p w14:paraId="561C1570" w14:textId="77777777" w:rsidR="00610080" w:rsidRDefault="000258AA">
      <w:pPr>
        <w:pStyle w:val="Body"/>
        <w:jc w:val="both"/>
        <w:rPr>
          <w:rFonts w:ascii="Proxima Nova" w:eastAsia="Proxima Nova" w:hAnsi="Proxima Nova" w:cs="Proxima Nova"/>
          <w:sz w:val="18"/>
          <w:szCs w:val="18"/>
        </w:rPr>
      </w:pPr>
      <w:r>
        <w:rPr>
          <w:rFonts w:ascii="Proxima Nova" w:hAnsi="Proxima Nova"/>
          <w:sz w:val="18"/>
          <w:szCs w:val="18"/>
        </w:rPr>
        <w:t>GLOBSEC je globalna istraž</w:t>
      </w:r>
      <w:r>
        <w:rPr>
          <w:rFonts w:ascii="Proxima Nova" w:hAnsi="Proxima Nova"/>
          <w:sz w:val="18"/>
          <w:szCs w:val="18"/>
          <w:lang w:val="it-IT"/>
        </w:rPr>
        <w:t>iva</w:t>
      </w:r>
      <w:r>
        <w:rPr>
          <w:rFonts w:ascii="Proxima Nova" w:hAnsi="Proxima Nova"/>
          <w:sz w:val="18"/>
          <w:szCs w:val="18"/>
        </w:rPr>
        <w:t>čka skupina sa sjedištem u Bratislavi, koja je posvećena povećanju sigurnosti, prosperiteta i održivosti u Europi i diljem svijeta. To je neovisna i nepristrana nevladina organizacija. S prisutnošću u Bratislavi, Bruxellesu, Kijevu, Beču i Washingtonu, GLOBSEC-ova je misija da utječe na budućnost razvojem novih ideja i rješenja za bolji i sigurniji svijet. Tome cilju pridonosi i godišnji GLOBSEC-ov forum u Bratislavi, jedna od vodećih konferencija o globalnoj sigurnosti. GLOBSEC organizira i „GLOBSEC Tatra Summit</w:t>
      </w:r>
      <w:r>
        <w:rPr>
          <w:rFonts w:ascii="Proxima Nova" w:hAnsi="Proxima Nova"/>
          <w:sz w:val="18"/>
          <w:szCs w:val="18"/>
          <w:rtl/>
          <w:lang w:val="ar-SA"/>
        </w:rPr>
        <w:t>“</w:t>
      </w:r>
      <w:r>
        <w:rPr>
          <w:rFonts w:ascii="Proxima Nova" w:hAnsi="Proxima Nova"/>
          <w:sz w:val="18"/>
          <w:szCs w:val="18"/>
        </w:rPr>
        <w:t>, godišnju konferenciju na kojoj stručnjaci imaju mogućnost plodonosnih političkih rasprava o budućnosti Europe.</w:t>
      </w:r>
    </w:p>
    <w:p w14:paraId="0E6F50F1" w14:textId="77777777" w:rsidR="00610080" w:rsidRDefault="00610080">
      <w:pPr>
        <w:pStyle w:val="NormalWeb"/>
        <w:spacing w:before="0" w:after="0"/>
        <w:rPr>
          <w:rFonts w:ascii="Proxima Nova" w:eastAsia="Proxima Nova" w:hAnsi="Proxima Nova" w:cs="Proxima Nova"/>
          <w:sz w:val="21"/>
          <w:szCs w:val="21"/>
          <w:lang w:val="en-US"/>
        </w:rPr>
      </w:pPr>
    </w:p>
    <w:p w14:paraId="5F80EC90" w14:textId="77777777" w:rsidR="00610080" w:rsidRDefault="000258AA">
      <w:pPr>
        <w:pStyle w:val="Body"/>
        <w:jc w:val="both"/>
        <w:rPr>
          <w:rFonts w:ascii="Proxima Nova" w:eastAsia="Proxima Nova" w:hAnsi="Proxima Nova" w:cs="Proxima Nova"/>
        </w:rPr>
      </w:pPr>
      <w:r>
        <w:rPr>
          <w:rFonts w:ascii="Proxima Nova" w:hAnsi="Proxima Nova"/>
        </w:rPr>
        <w:t xml:space="preserve">Za upite medija molimo obratite se na: Henrieta Kunová, direktorica Odjela za komunikacije, </w:t>
      </w:r>
      <w:hyperlink r:id="rId8" w:history="1">
        <w:r>
          <w:rPr>
            <w:rStyle w:val="Hyperlink1"/>
            <w:lang w:val="da-DK"/>
          </w:rPr>
          <w:t>henrieta.kunova@globsec.org</w:t>
        </w:r>
      </w:hyperlink>
      <w:r>
        <w:rPr>
          <w:rFonts w:ascii="Proxima Nova" w:hAnsi="Proxima Nova"/>
        </w:rPr>
        <w:t xml:space="preserve"> </w:t>
      </w:r>
    </w:p>
    <w:p w14:paraId="7000474C" w14:textId="77777777" w:rsidR="00610080" w:rsidRDefault="00610080">
      <w:pPr>
        <w:pStyle w:val="Body"/>
        <w:jc w:val="both"/>
      </w:pPr>
    </w:p>
    <w:p w14:paraId="1A878236" w14:textId="04F89148" w:rsidR="0004015E" w:rsidRDefault="0004015E">
      <w:pPr>
        <w:pStyle w:val="Body"/>
        <w:jc w:val="both"/>
        <w:rPr>
          <w:rFonts w:ascii="Arial" w:hAnsi="Arial" w:cs="Arial"/>
          <w:color w:val="30303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03030"/>
          <w:sz w:val="18"/>
          <w:szCs w:val="18"/>
          <w:shd w:val="clear" w:color="auto" w:fill="FFFFFF"/>
        </w:rPr>
        <w:t>CP-424284</w:t>
      </w:r>
    </w:p>
    <w:p w14:paraId="78DFD88A" w14:textId="30BDA888" w:rsidR="0004015E" w:rsidRDefault="0004015E">
      <w:pPr>
        <w:pStyle w:val="Body"/>
        <w:jc w:val="both"/>
      </w:pPr>
      <w:r>
        <w:rPr>
          <w:sz w:val="20"/>
          <w:szCs w:val="20"/>
        </w:rPr>
        <w:t>CRO-eOT-HEM-01-17/11/2023</w:t>
      </w:r>
    </w:p>
    <w:sectPr w:rsidR="0004015E">
      <w:headerReference w:type="default" r:id="rId9"/>
      <w:footerReference w:type="default" r:id="rId10"/>
      <w:pgSz w:w="11900" w:h="16840"/>
      <w:pgMar w:top="3530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E7FC" w14:textId="77777777" w:rsidR="00983137" w:rsidRDefault="00983137">
      <w:r>
        <w:separator/>
      </w:r>
    </w:p>
  </w:endnote>
  <w:endnote w:type="continuationSeparator" w:id="0">
    <w:p w14:paraId="79F0237B" w14:textId="77777777" w:rsidR="00983137" w:rsidRDefault="0098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43275" w14:textId="77777777" w:rsidR="00610080" w:rsidRDefault="000258AA">
    <w:pPr>
      <w:pStyle w:val="Footer"/>
      <w:tabs>
        <w:tab w:val="clear" w:pos="9072"/>
        <w:tab w:val="right" w:pos="9046"/>
      </w:tabs>
    </w:pPr>
    <w:r>
      <w:t>Podupire Janssen.</w:t>
    </w:r>
  </w:p>
  <w:p w14:paraId="636E64C1" w14:textId="284E0635" w:rsidR="0004015E" w:rsidRDefault="0004015E">
    <w:pPr>
      <w:pStyle w:val="Footer"/>
      <w:tabs>
        <w:tab w:val="clear" w:pos="9072"/>
        <w:tab w:val="right" w:pos="9046"/>
      </w:tabs>
      <w:rPr>
        <w:rFonts w:ascii="Arial" w:hAnsi="Arial" w:cs="Arial"/>
        <w:color w:val="303030"/>
        <w:sz w:val="18"/>
        <w:szCs w:val="18"/>
        <w:shd w:val="clear" w:color="auto" w:fill="FFFFFF"/>
      </w:rPr>
    </w:pPr>
    <w:r>
      <w:rPr>
        <w:rFonts w:ascii="Arial" w:hAnsi="Arial" w:cs="Arial"/>
        <w:color w:val="303030"/>
        <w:sz w:val="18"/>
        <w:szCs w:val="18"/>
        <w:shd w:val="clear" w:color="auto" w:fill="FFFFFF"/>
      </w:rPr>
      <w:t>CP-424284</w:t>
    </w:r>
  </w:p>
  <w:p w14:paraId="1B47EF55" w14:textId="2E04EFCB" w:rsidR="0004015E" w:rsidRPr="0004015E" w:rsidRDefault="0004015E">
    <w:pPr>
      <w:pStyle w:val="Footer"/>
      <w:tabs>
        <w:tab w:val="clear" w:pos="9072"/>
        <w:tab w:val="right" w:pos="9046"/>
      </w:tabs>
      <w:rPr>
        <w:sz w:val="20"/>
        <w:szCs w:val="20"/>
      </w:rPr>
    </w:pPr>
    <w:r>
      <w:rPr>
        <w:sz w:val="20"/>
        <w:szCs w:val="20"/>
      </w:rPr>
      <w:t>CRO-eOT-HEM-01-17/11/2023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6CC54" w14:textId="77777777" w:rsidR="00983137" w:rsidRDefault="00983137">
      <w:r>
        <w:separator/>
      </w:r>
    </w:p>
  </w:footnote>
  <w:footnote w:type="continuationSeparator" w:id="0">
    <w:p w14:paraId="31DB5A0B" w14:textId="77777777" w:rsidR="00983137" w:rsidRDefault="00983137">
      <w:r>
        <w:continuationSeparator/>
      </w:r>
    </w:p>
  </w:footnote>
  <w:footnote w:type="continuationNotice" w:id="1">
    <w:p w14:paraId="515E82C7" w14:textId="77777777" w:rsidR="00983137" w:rsidRDefault="00983137"/>
  </w:footnote>
  <w:footnote w:id="2">
    <w:p w14:paraId="1CBC1B7A" w14:textId="77777777" w:rsidR="00610080" w:rsidRDefault="000258AA">
      <w:pPr>
        <w:pStyle w:val="FootnoteText"/>
      </w:pPr>
      <w:r>
        <w:rPr>
          <w:rFonts w:ascii="Proxima Nova" w:eastAsia="Proxima Nova" w:hAnsi="Proxima Nova" w:cs="Proxima Nova"/>
          <w:vertAlign w:val="superscript"/>
          <w:lang w:val="en-US"/>
        </w:rPr>
        <w:footnoteRef/>
      </w:r>
      <w:r>
        <w:rPr>
          <w:rFonts w:ascii="Proxima Nova" w:hAnsi="Proxima Nova"/>
          <w:sz w:val="16"/>
          <w:szCs w:val="16"/>
        </w:rPr>
        <w:t xml:space="preserve"> </w:t>
      </w:r>
      <w:r>
        <w:rPr>
          <w:rFonts w:ascii="Proxima Nova" w:hAnsi="Proxima Nova"/>
          <w:i/>
          <w:iCs/>
          <w:sz w:val="16"/>
          <w:szCs w:val="16"/>
          <w:lang w:val="en-US"/>
        </w:rPr>
        <w:t>At a</w:t>
      </w:r>
      <w:r>
        <w:rPr>
          <w:rFonts w:ascii="Proxima Nova" w:hAnsi="Proxima Nova"/>
          <w:i/>
          <w:iCs/>
          <w:sz w:val="16"/>
          <w:szCs w:val="16"/>
        </w:rPr>
        <w:t> </w:t>
      </w:r>
      <w:r>
        <w:rPr>
          <w:rFonts w:ascii="Proxima Nova" w:hAnsi="Proxima Nova"/>
          <w:i/>
          <w:iCs/>
          <w:sz w:val="16"/>
          <w:szCs w:val="16"/>
          <w:lang w:val="en-US"/>
        </w:rPr>
        <w:t>turning point:</w:t>
      </w:r>
      <w:r>
        <w:rPr>
          <w:rFonts w:ascii="Proxima Nova" w:hAnsi="Proxima Nova"/>
          <w:sz w:val="16"/>
          <w:szCs w:val="16"/>
        </w:rPr>
        <w:t xml:space="preserve"> </w:t>
      </w:r>
      <w:r>
        <w:rPr>
          <w:rFonts w:ascii="Proxima Nova" w:hAnsi="Proxima Nova"/>
          <w:i/>
          <w:iCs/>
          <w:sz w:val="16"/>
          <w:szCs w:val="16"/>
          <w:lang w:val="en-US"/>
        </w:rPr>
        <w:t>Healthcare systems in Central and Eastern Europe</w:t>
      </w:r>
      <w:r>
        <w:rPr>
          <w:rFonts w:ascii="Proxima Nova" w:hAnsi="Proxima Nova"/>
          <w:sz w:val="16"/>
          <w:szCs w:val="16"/>
        </w:rPr>
        <w:t xml:space="preserve"> („Na prekretnici: sustavi zdravstvene skrbi u srednjoj i istočnoj Europi</w:t>
      </w:r>
      <w:r>
        <w:rPr>
          <w:rFonts w:ascii="Proxima Nova" w:hAnsi="Proxima Nova"/>
          <w:sz w:val="16"/>
          <w:szCs w:val="16"/>
          <w:rtl/>
          <w:lang w:val="ar-SA"/>
        </w:rPr>
        <w:t>“</w:t>
      </w:r>
      <w:r>
        <w:rPr>
          <w:rFonts w:ascii="Proxima Nova" w:hAnsi="Proxima Nova"/>
          <w:sz w:val="16"/>
          <w:szCs w:val="16"/>
          <w:lang w:val="nl-NL"/>
        </w:rPr>
        <w:t>; Ameri</w:t>
      </w:r>
      <w:r>
        <w:rPr>
          <w:rFonts w:ascii="Proxima Nova" w:hAnsi="Proxima Nova"/>
          <w:sz w:val="16"/>
          <w:szCs w:val="16"/>
        </w:rPr>
        <w:t xml:space="preserve">čka komora, EU). Prosinac 2022. Dostupno na: </w:t>
      </w:r>
      <w:hyperlink r:id="rId1" w:history="1">
        <w:r>
          <w:rPr>
            <w:rStyle w:val="Hyperlink0"/>
            <w:rFonts w:eastAsia="Arial Unicode MS" w:cs="Arial Unicode MS"/>
            <w:lang w:val="en-US"/>
          </w:rPr>
          <w:t>https://www.amchameu.eu/sites/default/files/publications/files/at_a_turning_point_healthcare_systems_in_central_and_eastern_europe_0.pdf</w:t>
        </w:r>
      </w:hyperlink>
      <w:r>
        <w:rPr>
          <w:rFonts w:ascii="Proxima Nova" w:hAnsi="Proxima Nova"/>
          <w:sz w:val="16"/>
          <w:szCs w:val="16"/>
        </w:rPr>
        <w:t xml:space="preserve"> </w:t>
      </w:r>
    </w:p>
  </w:footnote>
  <w:footnote w:id="3">
    <w:p w14:paraId="7776D821" w14:textId="77777777" w:rsidR="00610080" w:rsidRDefault="000258AA">
      <w:pPr>
        <w:pStyle w:val="Body"/>
        <w:spacing w:line="240" w:lineRule="auto"/>
      </w:pPr>
      <w:r>
        <w:rPr>
          <w:rFonts w:ascii="Proxima Nova" w:eastAsia="Proxima Nova" w:hAnsi="Proxima Nova" w:cs="Proxima Nova"/>
          <w:vertAlign w:val="superscript"/>
          <w:lang w:val="en-US"/>
        </w:rPr>
        <w:footnoteRef/>
      </w:r>
      <w:r>
        <w:t>Informativni članci o populaciji internetskog alata Cancer Today</w:t>
      </w:r>
      <w:r>
        <w:rPr>
          <w:rFonts w:ascii="Proxima Nova" w:hAnsi="Proxima Nova"/>
          <w:sz w:val="16"/>
          <w:szCs w:val="16"/>
        </w:rPr>
        <w:t xml:space="preserve"> za regiju Europe, dostupni na: </w:t>
      </w:r>
      <w:hyperlink r:id="rId2" w:history="1">
        <w:r>
          <w:rPr>
            <w:rStyle w:val="Hyperlink0"/>
            <w:lang w:val="en-US"/>
          </w:rPr>
          <w:t>https://gco.iarc.fr/today/data/factsheets/cancers/35-Multiple-myeloma-fact-sheet.pdf</w:t>
        </w:r>
      </w:hyperlink>
      <w:r>
        <w:rPr>
          <w:rFonts w:ascii="Proxima Nova" w:hAnsi="Proxima Nova"/>
          <w:sz w:val="16"/>
          <w:szCs w:val="16"/>
        </w:rPr>
        <w:t xml:space="preserve">, posljednja procjena u veljači 2023. </w:t>
      </w:r>
    </w:p>
  </w:footnote>
  <w:footnote w:id="4">
    <w:p w14:paraId="254E6EC3" w14:textId="77777777" w:rsidR="00610080" w:rsidRDefault="000258AA">
      <w:pPr>
        <w:pStyle w:val="FootnoteText"/>
      </w:pPr>
      <w:r>
        <w:rPr>
          <w:rFonts w:ascii="Proxima Nova" w:eastAsia="Proxima Nova" w:hAnsi="Proxima Nova" w:cs="Proxima Nova"/>
          <w:kern w:val="0"/>
          <w:vertAlign w:val="superscript"/>
          <w:lang w:val="en-US"/>
        </w:rPr>
        <w:footnoteRef/>
      </w:r>
      <w:r>
        <w:rPr>
          <w:rFonts w:eastAsia="Arial Unicode MS" w:cs="Arial Unicode MS"/>
          <w:sz w:val="16"/>
          <w:szCs w:val="16"/>
        </w:rPr>
        <w:t xml:space="preserve"> Coriu D, Dytfeld D, Niepel D, i dr. </w:t>
      </w:r>
      <w:r>
        <w:rPr>
          <w:rFonts w:eastAsia="Arial Unicode MS" w:cs="Arial Unicode MS"/>
          <w:i/>
          <w:iCs/>
          <w:sz w:val="16"/>
          <w:szCs w:val="16"/>
          <w:lang w:val="en-US"/>
        </w:rPr>
        <w:t>Realworld multiple myeloma management practice patterns and outcomes in selected Central and Eastern European countries</w:t>
      </w:r>
      <w:r>
        <w:rPr>
          <w:rFonts w:eastAsia="Arial Unicode MS" w:cs="Arial Unicode MS"/>
          <w:sz w:val="16"/>
          <w:szCs w:val="16"/>
        </w:rPr>
        <w:t xml:space="preserve"> („Obrasci i ishodi u praksi upravljanja višestrukim mijelomom u zemljama istočne Europe</w:t>
      </w:r>
      <w:r>
        <w:rPr>
          <w:rFonts w:eastAsia="Arial Unicode MS" w:cs="Arial Unicode MS"/>
          <w:sz w:val="16"/>
          <w:szCs w:val="16"/>
          <w:rtl/>
          <w:lang w:val="ar-SA"/>
        </w:rPr>
        <w:t>“</w:t>
      </w:r>
      <w:r>
        <w:rPr>
          <w:rFonts w:eastAsia="Arial Unicode MS" w:cs="Arial Unicode MS"/>
          <w:sz w:val="16"/>
          <w:szCs w:val="16"/>
        </w:rPr>
        <w:t xml:space="preserve">). Poljski arhivi interne medicine. 28.09.2018.;128(9):500.-511. </w:t>
      </w:r>
    </w:p>
  </w:footnote>
  <w:footnote w:id="5">
    <w:p w14:paraId="4CFC0395" w14:textId="77777777" w:rsidR="00610080" w:rsidRDefault="000258AA">
      <w:pPr>
        <w:pStyle w:val="Body"/>
        <w:spacing w:after="0" w:line="240" w:lineRule="auto"/>
        <w:rPr>
          <w:rFonts w:ascii="Proxima Nova" w:eastAsia="Proxima Nova" w:hAnsi="Proxima Nova" w:cs="Proxima Nova"/>
          <w:sz w:val="16"/>
          <w:szCs w:val="16"/>
        </w:rPr>
      </w:pPr>
      <w:r>
        <w:rPr>
          <w:rFonts w:ascii="Proxima Nova" w:hAnsi="Proxima Nova"/>
          <w:sz w:val="12"/>
          <w:szCs w:val="12"/>
        </w:rPr>
        <w:t>4.</w:t>
      </w:r>
      <w:r>
        <w:rPr>
          <w:sz w:val="16"/>
          <w:szCs w:val="16"/>
          <w:lang w:val="en-US"/>
        </w:rPr>
        <w:t xml:space="preserve"> Myeloma Patients Europe. </w:t>
      </w:r>
      <w:r>
        <w:rPr>
          <w:i/>
          <w:iCs/>
          <w:sz w:val="16"/>
          <w:szCs w:val="16"/>
          <w:lang w:val="en-US"/>
        </w:rPr>
        <w:t>Addressing access barriers to myeloma clinical trials in Central and Eastern Europe</w:t>
      </w:r>
      <w:r>
        <w:rPr>
          <w:sz w:val="16"/>
          <w:szCs w:val="16"/>
        </w:rPr>
        <w:t xml:space="preserve"> („Uklanjanje prepreka dostupnosti kliničkih ispitivanja mijeloma u srednjoj i istočnoj Europi</w:t>
      </w:r>
      <w:r>
        <w:rPr>
          <w:sz w:val="16"/>
          <w:szCs w:val="16"/>
          <w:rtl/>
          <w:lang w:val="ar-SA"/>
        </w:rPr>
        <w:t>“</w:t>
      </w:r>
      <w:r>
        <w:rPr>
          <w:sz w:val="16"/>
          <w:szCs w:val="16"/>
        </w:rPr>
        <w:t>). Studeni 2022. Dostupno na:</w:t>
      </w:r>
      <w:r>
        <w:rPr>
          <w:rFonts w:ascii="Proxima Nova" w:hAnsi="Proxima Nova"/>
          <w:sz w:val="16"/>
          <w:szCs w:val="16"/>
        </w:rPr>
        <w:t xml:space="preserve"> </w:t>
      </w:r>
      <w:hyperlink r:id="rId3" w:history="1">
        <w:r>
          <w:rPr>
            <w:rStyle w:val="Hyperlink0"/>
            <w:lang w:val="en-US"/>
          </w:rPr>
          <w:t>https://www.mpeurope.org/wp-content/uploads/2023/01/CEE-Access-report.pdf</w:t>
        </w:r>
      </w:hyperlink>
    </w:p>
    <w:p w14:paraId="7B2255AC" w14:textId="77777777" w:rsidR="00610080" w:rsidRDefault="000258AA">
      <w:pPr>
        <w:pStyle w:val="Body"/>
        <w:spacing w:after="0" w:line="240" w:lineRule="auto"/>
        <w:rPr>
          <w:color w:val="FF0000"/>
          <w:sz w:val="16"/>
          <w:szCs w:val="16"/>
          <w:u w:color="FF0000"/>
        </w:rPr>
      </w:pPr>
      <w:r>
        <w:rPr>
          <w:rFonts w:ascii="Proxima Nova" w:hAnsi="Proxima Nova"/>
          <w:sz w:val="12"/>
          <w:szCs w:val="12"/>
        </w:rPr>
        <w:t xml:space="preserve">5. </w:t>
      </w:r>
      <w:r>
        <w:rPr>
          <w:sz w:val="16"/>
          <w:szCs w:val="16"/>
        </w:rPr>
        <w:t xml:space="preserve">Coriu D, Dytfeld D, Niepel D, i dr. </w:t>
      </w:r>
      <w:r>
        <w:rPr>
          <w:i/>
          <w:iCs/>
          <w:sz w:val="16"/>
          <w:szCs w:val="16"/>
          <w:lang w:val="en-US"/>
        </w:rPr>
        <w:t>Realworld multiple myeloma management practice patterns and outcomes in selected Central and Eastern European countries</w:t>
      </w:r>
      <w:r>
        <w:rPr>
          <w:sz w:val="16"/>
          <w:szCs w:val="16"/>
        </w:rPr>
        <w:t xml:space="preserve"> („Obrasci i ishodi u praksi upravljanja višestrukim mijelomom u zemljama istočne Europe</w:t>
      </w:r>
      <w:r>
        <w:rPr>
          <w:sz w:val="16"/>
          <w:szCs w:val="16"/>
          <w:rtl/>
          <w:lang w:val="ar-SA"/>
        </w:rPr>
        <w:t>“</w:t>
      </w:r>
      <w:r>
        <w:rPr>
          <w:sz w:val="16"/>
          <w:szCs w:val="16"/>
        </w:rPr>
        <w:t xml:space="preserve">). Poljski arhivi interne medicine. 28.09.2018.;128(9):500.-511. </w:t>
      </w:r>
    </w:p>
    <w:p w14:paraId="6F3DB2EC" w14:textId="77777777" w:rsidR="00610080" w:rsidRDefault="0061008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FCE1" w14:textId="77777777" w:rsidR="00610080" w:rsidRDefault="000258AA">
    <w:pPr>
      <w:pStyle w:val="Header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EF0751E" wp14:editId="09C9C5F6">
          <wp:simplePos x="0" y="0"/>
          <wp:positionH relativeFrom="page">
            <wp:posOffset>0</wp:posOffset>
          </wp:positionH>
          <wp:positionV relativeFrom="page">
            <wp:posOffset>5813</wp:posOffset>
          </wp:positionV>
          <wp:extent cx="7597914" cy="1871004"/>
          <wp:effectExtent l="0" t="0" r="0" b="0"/>
          <wp:wrapNone/>
          <wp:docPr id="1073741825" name="officeArt object" descr="A blue background with white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blue background with white textDescription automatically generated" descr="A blue background with white text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914" cy="18710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3121"/>
    <w:multiLevelType w:val="hybridMultilevel"/>
    <w:tmpl w:val="FFFFFFFF"/>
    <w:numStyleLink w:val="Bullets"/>
  </w:abstractNum>
  <w:abstractNum w:abstractNumId="1" w15:restartNumberingAfterBreak="0">
    <w:nsid w:val="7F745C23"/>
    <w:multiLevelType w:val="hybridMultilevel"/>
    <w:tmpl w:val="FFFFFFFF"/>
    <w:styleLink w:val="Bullets"/>
    <w:lvl w:ilvl="0" w:tplc="DDF4838C">
      <w:start w:val="1"/>
      <w:numFmt w:val="bullet"/>
      <w:lvlText w:val="-"/>
      <w:lvlJc w:val="left"/>
      <w:pPr>
        <w:ind w:left="174" w:hanging="17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0CE302">
      <w:start w:val="1"/>
      <w:numFmt w:val="bullet"/>
      <w:lvlText w:val="-"/>
      <w:lvlJc w:val="left"/>
      <w:pPr>
        <w:ind w:left="774" w:hanging="17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D01426">
      <w:start w:val="1"/>
      <w:numFmt w:val="bullet"/>
      <w:lvlText w:val="-"/>
      <w:lvlJc w:val="left"/>
      <w:pPr>
        <w:ind w:left="1374" w:hanging="17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4E11D2">
      <w:start w:val="1"/>
      <w:numFmt w:val="bullet"/>
      <w:lvlText w:val="-"/>
      <w:lvlJc w:val="left"/>
      <w:pPr>
        <w:ind w:left="1974" w:hanging="17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EEAF6C">
      <w:start w:val="1"/>
      <w:numFmt w:val="bullet"/>
      <w:lvlText w:val="-"/>
      <w:lvlJc w:val="left"/>
      <w:pPr>
        <w:ind w:left="2574" w:hanging="17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B69D70">
      <w:start w:val="1"/>
      <w:numFmt w:val="bullet"/>
      <w:lvlText w:val="-"/>
      <w:lvlJc w:val="left"/>
      <w:pPr>
        <w:ind w:left="3174" w:hanging="17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C0FB90">
      <w:start w:val="1"/>
      <w:numFmt w:val="bullet"/>
      <w:lvlText w:val="-"/>
      <w:lvlJc w:val="left"/>
      <w:pPr>
        <w:ind w:left="3774" w:hanging="17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16AAB4">
      <w:start w:val="1"/>
      <w:numFmt w:val="bullet"/>
      <w:lvlText w:val="-"/>
      <w:lvlJc w:val="left"/>
      <w:pPr>
        <w:ind w:left="4374" w:hanging="17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D014A4">
      <w:start w:val="1"/>
      <w:numFmt w:val="bullet"/>
      <w:lvlText w:val="-"/>
      <w:lvlJc w:val="left"/>
      <w:pPr>
        <w:ind w:left="4974" w:hanging="17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4693696">
    <w:abstractNumId w:val="1"/>
  </w:num>
  <w:num w:numId="2" w16cid:durableId="1430808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080"/>
    <w:rsid w:val="000258AA"/>
    <w:rsid w:val="0004015E"/>
    <w:rsid w:val="00053817"/>
    <w:rsid w:val="003C5272"/>
    <w:rsid w:val="0057079C"/>
    <w:rsid w:val="00610080"/>
    <w:rsid w:val="00983137"/>
    <w:rsid w:val="00A206E4"/>
    <w:rsid w:val="00A73EDF"/>
    <w:rsid w:val="00B002F7"/>
    <w:rsid w:val="00B1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4A38"/>
  <w15:docId w15:val="{B3DC7BD6-E536-4B42-8330-38886C94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kern w:val="2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kern w:val="2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kern w:val="2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styleId="FootnoteText">
    <w:name w:val="footnote text"/>
    <w:rPr>
      <w:rFonts w:ascii="Calibri" w:eastAsia="Calibri" w:hAnsi="Calibri" w:cs="Calibri"/>
      <w:color w:val="000000"/>
      <w:kern w:val="2"/>
      <w:u w:color="000000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Proxima Nova" w:eastAsia="Proxima Nova" w:hAnsi="Proxima Nova" w:cs="Proxima Nova"/>
      <w:outline w:val="0"/>
      <w:color w:val="0563C1"/>
      <w:sz w:val="16"/>
      <w:szCs w:val="16"/>
      <w:u w:val="single" w:color="0563C1"/>
    </w:rPr>
  </w:style>
  <w:style w:type="paragraph" w:customStyle="1" w:styleId="xmsonormal">
    <w:name w:val="x_msonormal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Link"/>
    <w:rPr>
      <w:rFonts w:ascii="Proxima Nova" w:eastAsia="Proxima Nova" w:hAnsi="Proxima Nova" w:cs="Proxima Nova"/>
      <w:outline w:val="0"/>
      <w:color w:val="0563C1"/>
      <w:u w:val="single" w:color="0563C1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ieta.kunova@globse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lobsec.org/what-we-do/events/eus-beating-cancer-plan-closing-gap-cancer-care-ce-balti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peurope.org/wp-content/uploads/2023/01/CEE-Access-report.pdf" TargetMode="External"/><Relationship Id="rId2" Type="http://schemas.openxmlformats.org/officeDocument/2006/relationships/hyperlink" Target="https://gco.iarc.fr/today/data/factsheets/cancers/35-Multiple-myeloma-fact-sheet.pdf" TargetMode="External"/><Relationship Id="rId1" Type="http://schemas.openxmlformats.org/officeDocument/2006/relationships/hyperlink" Target="https://www.amchameu.eu/sites/default/files/publications/files/at_a_turning_point_healthcare_systems_in_central_and_eastern_europe_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987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Tomljanovic , Tatjana [JACCR]</dc:creator>
  <cp:lastModifiedBy>Tomljanovic , Tatjana [JACCR]</cp:lastModifiedBy>
  <cp:revision>4</cp:revision>
  <dcterms:created xsi:type="dcterms:W3CDTF">2023-11-21T12:38:00Z</dcterms:created>
  <dcterms:modified xsi:type="dcterms:W3CDTF">2023-11-21T13:26:00Z</dcterms:modified>
</cp:coreProperties>
</file>